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86R6294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2601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named driver policy disclosure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1952.0545, Insurance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Before accepting any premium or fee </w:t>
      </w:r>
      <w:r>
        <w:rPr>
          <w:u w:val="single"/>
        </w:rPr>
        <w:t xml:space="preserve">at the inception or renewal of</w:t>
      </w:r>
      <w:r>
        <w:t xml:space="preserve"> </w:t>
      </w:r>
      <w:r>
        <w:t xml:space="preserve">[</w:t>
      </w:r>
      <w:r>
        <w:rPr>
          <w:strike/>
        </w:rPr>
        <w:t xml:space="preserve">for</w:t>
      </w:r>
      <w:r>
        <w:t xml:space="preserve">] a named driver policy, an agent or insurer, including a county mutual insurance company, must make the following disclosure, [</w:t>
      </w:r>
      <w:r>
        <w:rPr>
          <w:strike/>
        </w:rPr>
        <w:t xml:space="preserve">orally and</w:t>
      </w:r>
      <w:r>
        <w:t xml:space="preserve">] in writing, to the applicant or insured:</w:t>
      </w:r>
    </w:p>
    <w:p w:rsidR="003F3435" w:rsidRDefault="0032493E">
      <w:pPr>
        <w:spacing w:line="480" w:lineRule="auto"/>
        <w:ind w:firstLine="720"/>
        <w:ind w:start="720"/>
        <w:jc w:val="both"/>
      </w:pPr>
      <w:r>
        <w:t xml:space="preserve">WARNING:</w:t>
      </w:r>
      <w:r xml:space="preserve">
        <w:t> </w:t>
      </w:r>
      <w:r xml:space="preserve">
        <w:t> </w:t>
      </w:r>
      <w:r>
        <w:t xml:space="preserve">A NAMED DRIVER POLICY DOES NOT PROVIDE COVERAGE FOR INDIVIDUALS RESIDING IN THE INSURED'S HOUSEHOLD THAT ARE NOT NAMED ON THE POLICY.</w:t>
      </w:r>
    </w:p>
    <w:p w:rsidR="003F3435" w:rsidRDefault="0032493E">
      <w:pPr>
        <w:spacing w:line="480" w:lineRule="auto"/>
        <w:ind w:firstLine="720"/>
        <w:jc w:val="both"/>
      </w:pPr>
      <w:r>
        <w:t xml:space="preserve">(c)</w:t>
      </w:r>
      <w:r xml:space="preserve">
        <w:t> </w:t>
      </w:r>
      <w:r xml:space="preserve">
        <w:t> </w:t>
      </w:r>
      <w:r>
        <w:t xml:space="preserve">Before accepting any premium or fee </w:t>
      </w:r>
      <w:r>
        <w:rPr>
          <w:u w:val="single"/>
        </w:rPr>
        <w:t xml:space="preserve">at the inception or renewal of</w:t>
      </w:r>
      <w:r>
        <w:t xml:space="preserve"> [</w:t>
      </w:r>
      <w:r>
        <w:rPr>
          <w:strike/>
        </w:rPr>
        <w:t xml:space="preserve">for</w:t>
      </w:r>
      <w:r>
        <w:t xml:space="preserve">] a named driver policy, an agent or insurer, including a county mutual insurance company, must receive a copy of the disclosure described by Subsection (b) that is signed by the applicant or insured.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signature required by this section must be an original signature or an electronic signature that complies with Chapter 322, Business &amp; Commerce Code, and Chapter 35 of this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1952.0545(e), Insurance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insurance policy that is delivered, issued for delivery, or renewed on or after January 1, 2020.  A policy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