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86R6000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certain state agency actions relating to high-speed rail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112, Transportation Code, is amended by adding Section 112.004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RESTRICTIONS ON CERTAIN STATE AGENCY ACTIONS RELATING TO HIGH-SPEED RAIL PROJECTS.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"High-speed rail" has the meaning assigned by Section 112.201.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 means a board, commission, council, committee, department, office, agency, or other governmental entity in the executive branch of state government.  The term does not include an institution of higher education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Unless a state agency determines that a private entity has obtained all necessary federal approvals and permits for the construction of a high-speed rail project, the state agency may not: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 any permit required for the project;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negotiate or enter into an agreement with the private entity for right-of-way access for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