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86R965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or storage of a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37.0811(c),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board of trustees of a school district or the governing body of an open-enrollment charter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board of trustees or the governing body;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school as specified by the board of trustees or governing body,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</w:t>
      </w:r>
      <w:r xml:space="preserve">
        <w:t> </w:t>
      </w:r>
      <w:r xml:space="preserve">
        <w:t> 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37.0813(c),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governing body of a private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 in the manner provided by written regulations adopted by the governing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 in a classroom setting,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51.220(d), (e),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marshal appointed by the governing board of a public junior college may carry </w:t>
      </w:r>
      <w:r>
        <w:rPr>
          <w:u w:val="single"/>
        </w:rPr>
        <w:t xml:space="preserve">a concealed handgun</w:t>
      </w:r>
      <w:r>
        <w:t xml:space="preserve"> or possess a handgun on the physical premises of a public junior college campus,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governing board;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public junior college campus as specified by the governing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public junior college campus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