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86R4669 BEF-F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2611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treatment of certain limited liability companies as passive entities for purposes of the franchise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171.0003(a), Tax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entity is a passive entity only if: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entity is a general or limited partnership</w:t>
      </w:r>
      <w:r>
        <w:rPr>
          <w:u w:val="single"/>
        </w:rPr>
        <w:t xml:space="preserve">, a limited liability company,</w:t>
      </w:r>
      <w:r>
        <w:t xml:space="preserve"> or a trust, other than a business trust;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during the period on which margin is based, the entity's federal gross income consists of at least 90 percent of the following income: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dividends, interest, foreign currency exchange gain, periodic and nonperiodic payments with respect to notional principal contracts, option premiums, cash settlement or termination payments with respect to a financial instrument, and income from a limited liability company</w:t>
      </w:r>
      <w:r>
        <w:rPr>
          <w:u w:val="single"/>
        </w:rPr>
        <w:t xml:space="preserve">, if the entity is a general or limited partnership or a trust, or from another limited liability company, if the entity is a limited liability company</w:t>
      </w:r>
      <w:r>
        <w:t xml:space="preserve">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distributive shares of partnership income to the extent that those distributive shares of income are greater than zero;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capital gains from the sale of real property, gains from the sale of commodities traded on a commodities exchange, and gains from the sale of securities;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royalties, bonuses, or delay rental income from mineral properties and income from other nonoperating mineral interests;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entity does not receive more than 10 percent of its federal gross income from conducting an active trade or business.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applies only to a report originally due on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January 1, 2020.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2611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