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86R12857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Community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29, Education Code, is amended by adding Subchapter M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M.  TEXAS COMMUNITY SCHOOLS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"community-based organization" means a nonprofit corporation or association located in close proximity to the population the organization serves.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COMMUNITY SCHOOL.  (a)  A Texas Community School is a public elementary, middle, junior high, or high school that partners with one or more community-based organizations to coordinate academic, social, and health services to reduce barriers to learning and improve the quality of education for students in the community.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Texas Community School offers a variety of programs and services, which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early childhood education;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after-school and summer school academic and enrichment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college and career preparation;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service learning opportunities, such as internships and community service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leadership and mentoring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activities to encourage community and parent engagement in students' education;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social services for students and their families;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parenting classes.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TRANSITION TO TEXAS COMMUNITY SCHOOL.  (a)  A public elementary, middle, junior high, or high school may transition to a Texas Community School if the school: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establishes a school community partnership team to function as the campus-level planning and decision-making committee required under Section 11.251, composed of the members required under Section 11.251 and additional community representatives;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conducts a comprehensive on-site needs assessment using the guidelines and procedures described by Section 39A.053(c);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establishes a partnership with a lead community-based organization, such as Communities In Schools, a social service provider, or an education or youth services organization, that has experience in developing and implementing a community school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develops a community school plan that satisfies the requirements for a campus improvement plan under Section 11.253;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gains approval for the community school plan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75 percent of campus faculty and staff and 75 percent of parents of students enrolled at the school;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of the school district in which the school is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that transitions to a Texas Community School under Subsection (a) shall hire a new employee or designate a school district employee or an employee of a community-based organization with experience in developing and implementing a community school plan as the community school coordinator for the school. The coordinator's duties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recruiting community partners and building community support for the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school community partnership team's planning and training activities;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planning and evaluation efforts between the school and community partners;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and student and family support programs;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after-school, summer, and enrichment programs for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encouraging community and parent engagement in the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seeking available resources for implementing community school programs and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conducting an annual needs assessment of the school in coordination with the school community partnership team;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acting as a liaison between the school, other community schools, the school district, and community partners;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plan for sustaining the community school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or implementing a community school plan, the school may seek assistance from other community schools, regional education service centers, or technical assistance providers.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(c), a technical assistance provider is a public or private entity that has experience in developing and implementing a community school plan and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development, training, technical assistance, coaching, or quality assurance activities to assist schools in transitioning to a Texas Community School,  sustaining the community school plan, or maximizing the effectiveness of that plan;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capacity-building training to regional education service centers to enable the centers to support a school's transition to a Texas Community School or assist the school in sustaining the school's community school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COMMUNITY AND DISTRICT OVERSIGHT.  A school that transitions to a Texas Community School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 a community meeting at least twice each year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 community stakeholders about the school's progress in implementing the community school plan;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seek community input regarding any improvements or changes that could be made to the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annually to the board of trustees of the school district in which the school is located regarding the school's progress in implementing the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FUNDING.  A Texas Community School or a school transitioning to a Texas Community School may seek and accept gifts, grants, donations, and funds from federal and state agencies and private sources for purposes related to the school's function as a Texas Community School.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AS TEXAS COMMUNITY SCHOOL.  (a)  A school that transitions to a Texas Community School shall be recognized by the state as a Texas Community School.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develop methods for recognizing a school as a Texas Community School.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29.507.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The commissioner may adopt rules as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