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86R10828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fiscal year of certain political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140, Local Government Code, is amended by adding Section 140.012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140.012.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FISCAL YEAR OF POLITICAL SUBDIVISION CREATED ON OR AFTER SEPTEMBER 1, 2019. </w:t>
      </w:r>
      <w:r>
        <w:rPr>
          <w:u w:val="single"/>
        </w:rPr>
        <w:t xml:space="preserve"> </w:t>
      </w:r>
      <w:r>
        <w:rPr>
          <w:u w:val="single"/>
        </w:rPr>
        <w:t xml:space="preserve">A political subdivision that is created on or after September 1, 2019, and that has authority to impose a tax must have the same fiscal year as the county in which the political subdivision is wholly or primarily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