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86R11074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2626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credit card or debit card abuse;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32.31(a), Penal Code, is amended by adding Subdivisions (8) and (9)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"Counterfeit credit card or debit card" means a credit card or debit card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purports on its face to have been issued by an issuer that did not issue the card;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altered to contain a digital imprint other than that which was placed on the card by the issuer;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contains a digital imprint with account information or account holder information differing from that which is printed or embossed on the card;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been altered to change the account information or account holder information on the face of the card from that which was printed or embossed on the card by the issuer.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"Digital imprint" means the digital data placed on a credit card or debit card by the issuer.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32.31,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commits an offense if the person knowingly possesses, uses, transfers, or receives a counterfeit credit card or debit card.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