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86R12229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extended early voting period beginning on the 19th day before election day for any number of consecutive days up to and including the third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83.002 or 83.005,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100,000 or more, the early voting clerk shall order personal appearance voting at the main early voting polling place to be conducted for at least 12 hours on the last Saturday and for at least five hours on the last Sunday of the early voting period.  The early voting clerk shall order voting to be conducted at those times in those elections in a county with a population under 100,000 on receipt of a written request for those hours submitted by at least 15 registered voters of the county.  The request must be submitted in time to enable compliance with Section 85.007. 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Voting at a temporary branch polling place may be conducted on any one or more days and during any hours of the period for early voting by personal appearance, as determined by the authority establishing the branch.  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85.068(a),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or 85.065(b),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