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86R24398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Dallas, Oliverson, Guillen,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by certain managed care entities of changes related to reimbursements applicable to certain physicians and health care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843.321, Insurance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maintenance organization or health maintenance organization's agent that provides a notice under Subsection (a)(3) must provide the notice to a physician or provider, including a licensed clinical social worker, in a manner that is trackable and indicates the date and time the notice was sent,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certified mail, return receipt requested, to the physician's or provider's address;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e-mail to an e-mail address specified by the physician or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1301.136, Insurance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insurer or insurer's agent that provides a notice under Subsection (a)(3) must provide the notice to a preferred provider, including a licensed clinical social worker, in a manner that is trackable and indicates the date and time the notice was sent,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certified mail, return receipt requested, to the preferred provider's address;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e-mail to an e-mail address specified by the preferred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1453, Insurance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1453.  DISCLOSURE OF REIMBURSEMENT GUIDELINES </w:t>
      </w:r>
      <w:r>
        <w:rPr>
          <w:u w:val="single"/>
        </w:rPr>
        <w:t xml:space="preserve">AND AMOUNTS</w:t>
      </w:r>
      <w:r>
        <w:t xml:space="preserve"> UNDER MANAGED CARE PLAN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1453.001(1), Insurance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"Health care provider" means: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hospital, emergency clinic, outpatient clinic, or other facility providing health care services;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individual who is licensed in this state to provide health care services</w:t>
      </w:r>
      <w:r>
        <w:rPr>
          <w:u w:val="single"/>
        </w:rPr>
        <w:t xml:space="preserve">, including a physician who is licensed to practice medicine in this state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Chapter 1453, Insurance Code, is amended by adding Section 1453.004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1453.004.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CHANGE TO REIMBURSEMENT AMOUNT.  (a)  A managed care entity shall provide to each health care provider, including a licensed clinical social worker, under contract with the managed care entity notice of any change to a reimbursement amount that will be paid to the health care provider for a good or service provided by the health care provider.  The notice must be provided before the effective date of the change.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required by this section must be sent: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directly to each health care provider that may be affected by the reimbursement amount change;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manner that is trackable and indicates the date and time the notice was sent,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certified mail, return receipt requested, to the provider's address;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e-mail to an e-mail address specified by the provider.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2632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