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86R11527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enforcement of the regulation of perpetual care cemeteries.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712.0034(a),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may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investigate an applicant before issuing a certificate of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from the applicant reasonable costs the commissioner incurs in the investigation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712, Health and Safety Code, is amended by adding Section 712.0435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712.0435.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INVESTIGATIONS.  The commissioner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an investigation to administer and enforce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reasonable costs incurred by the commissioner in the investigation from the subject of the investigation if the commissioner determines a violation occurred.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712.0443, Health and Safety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cease and desist order issued under this section names an officer, director, or employee of a perpetual care cemetery, the order may require the person named in the order to take corrective action to remedy the violation described by the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712, Health and Safety Code, is amended by adding Section 712.045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712.045.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REVOCATION OR SUSPENSION OF CERTIFICATE OF AUTHORITY.  (a)  The commissioner by order may revoke or suspend a certificate of authority issued under this chapter if the commissioner determines through an investigation or other credible evidence that the certificate holder: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violated this chapter, a rule adopted or order issued under this chapter, or another law of this state relating to cemeteries;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misrepresented or concealed a material fact in the certificate application;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obtained or attempted to obtain the certificate by misrepresentation, concealment, or fraud.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Subsection (a) must state: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reasonable certainty, the grounds for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effective date of the order, which may not be earlier than the 16th day after the date the order is mailed.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provide an order described by Subsection (a) to the person named in the order by certified mail, return receipt requested, at the person's last known address.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request a hearing on an order described by Subsection (a) not later than the 15th day after the date the order is mailed.  If the person requests a hearing, the order is stayed until the hearing is resolved.  A hearing is a contested case under Chapter 2001,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violation that occurs or an investigation conducted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