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86R10935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the number of incidents of bullying and cyberbullying in a school district and open-enrollment charter school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Education Code, is amended by adding Subsection (a-10)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the information provided in accordance with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