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86R12428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for recipients of the Combat Action Badge or Combat Infantryman Badge.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504.320, Transportation Code, is amended by amending Subsection (a) and adding Subsection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shall issue specialty license plates for recipients of the Combat Action Badge.</w:t>
      </w:r>
      <w:r xml:space="preserve">
        <w:t> </w:t>
      </w:r>
      <w:r xml:space="preserve">
        <w:t> </w:t>
      </w:r>
      <w:r>
        <w:t xml:space="preserve">License plates issued under this subsection must include the Combat Action Badge [</w:t>
      </w:r>
      <w:r>
        <w:rPr>
          <w:strike/>
        </w:rPr>
        <w:t xml:space="preserve">Combat Infantryman</w:t>
      </w:r>
      <w:r>
        <w:t xml:space="preserve">] emblem and must include the words "Combat Action Badge" at the bottom of each plate.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specialty license plates for recipients of the Combat Infantryman Badge.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 plates issued under this subsection must include the Combat Infantryman Badge emblem and must include the words "Combat Infantryman Badge" at the bottom of each plate.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