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86R9013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2645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character education programs in evaluating districts and campuses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 a character education program or course provided under Section 29.906;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evaluating the performance of middle and junior high school and elementary school campuses and districts that include those campuses an indicator that accounts for students who successfully complete a character education program or course provided under Section 29.906;</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