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policies and procedures for the establishment of threat assessment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37, Education Code, is amended by adding Section 37.1091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37.1091.</w:t>
      </w:r>
      <w:r>
        <w:rPr>
          <w:u w:val="single"/>
        </w:rPr>
        <w:t xml:space="preserve"> </w:t>
      </w:r>
      <w:r>
        <w:rPr>
          <w:u w:val="single"/>
        </w:rPr>
        <w:t xml:space="preserve"> </w:t>
      </w:r>
      <w:r>
        <w:rPr>
          <w:u w:val="single"/>
        </w:rPr>
        <w:t xml:space="preserve">THREAT ASSESSMENT TEAM. </w:t>
      </w:r>
      <w:r>
        <w:rPr>
          <w:u w:val="single"/>
        </w:rPr>
        <w:t xml:space="preserve"> </w:t>
      </w:r>
      <w:r>
        <w:rPr>
          <w:u w:val="single"/>
        </w:rPr>
        <w:t xml:space="preserve">(a) </w:t>
      </w:r>
      <w:r>
        <w:rPr>
          <w:u w:val="single"/>
        </w:rPr>
        <w:t xml:space="preserve"> </w:t>
      </w:r>
      <w:r>
        <w:rPr>
          <w:u w:val="single"/>
        </w:rPr>
        <w:t xml:space="preserve">Each school district and open-enrollment charter school shall adopt policies and procedures in accordance with the guidelines developed by the Texas School Safety Center, and in coordination with the agency, for the establishment of threat assessment teams. The policies and procedures must establish at least one threat assessment team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membership and composition of each threat assessment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training requirements for a member of a threat assessment team, including training provided by the Texas School Safety Center in threat assessment protocols;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guidance for students, faculty, and staff in identifying and reporting any threatening or aberrant behavior that may pose a threat to the community, school, or individual;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 for threat assessment, management, investigation, and response.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threat assessment team identifying a student at risk of suicide shall act in accordance with the district's or school's suicide prevention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threat assessment team established under Subsection (a) shall annually report to the Texas School Safety Center the policies and procedures adopted by the team.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