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86R23465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Paul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names by public insurance adjusters.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4102.162,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4102.162.</w:t>
      </w:r>
      <w:r xml:space="preserve">
        <w:t> </w:t>
      </w:r>
      <w:r xml:space="preserve">
        <w:t> </w:t>
      </w:r>
      <w:r>
        <w:t xml:space="preserve">USE OF DIFFERENT NAME PROHIBITED.  A license holder may not use a name different from the name under which the license holder is currently licensed in an advertisement, solicitation, or contract for business </w:t>
      </w:r>
      <w:r>
        <w:rPr>
          <w:u w:val="single"/>
        </w:rPr>
        <w:t xml:space="preserve">unless the name is used under a valid assumed name certificate as provided by Chapter 71, Business &amp; Commerce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