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86R2719 TSR-D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Paul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2662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voter approval of the issuance of certain obligations by municipalities to pay their unfunded liabilities to a public pension fund.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107.003(a),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Subject to Section 107.0035, a</w:t>
      </w:r>
      <w:r>
        <w:t xml:space="preserve"> [</w:t>
      </w:r>
      <w:r>
        <w:rPr>
          <w:strike/>
        </w:rPr>
        <w:t xml:space="preserve">A</w:t>
      </w:r>
      <w:r>
        <w:t xml:space="preserve">] municipality may issue obligations to fund all or any part of an unfunded liability.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107, Local Government Code, is amended by adding Section 107.0035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107.0035.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VOTER APPROVAL REQUIRED FOR CERTAIN PENSION FUND OBLIGATIONS. </w:t>
      </w:r>
      <w:r>
        <w:rPr>
          <w:u w:val="single"/>
        </w:rPr>
        <w:t xml:space="preserve"> </w:t>
      </w:r>
      <w:r>
        <w:rPr>
          <w:u w:val="single"/>
        </w:rPr>
        <w:t xml:space="preserve">A municipality may issue an obligation under Section 107.003 in an amount that exceeds $50 million only if the issuance is approved by a majority of the qualified voters of the municipality voting at an election held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107.0036, Local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107.0035, Local Government Code, as added by this Act, applies only to obligations for which the governing body of a municipality executes an agreement under Section 107.003(b), Local Government Code,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2662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