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86R2146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presiding officers of the boards of directors of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Water Code, is amended by designating Chapter 152 as Subtitle A and adding a subtitle heading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A.  RIVER AUTHORITIES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5, Water Code, as added by this Act, is amended by adding Chapter 150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150.  PROVISIONS GENERALLY APPLICABLE TO RIVER AUTHORITIES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directors of a river authority.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"River authority" means a district created under the authority of Section 59, Article XVI, Texas Constitution, as a regional water management entity to provide water development and planning services and other services to a river basin or portion of a river basin.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governor shall designate a member of the board of a river authority as the presiding officer of the board to serve in that capacity at the pleasure of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In this section, "river authority" means a district created under the authority of Section 59, Article XVI, Texas Constitution, as a regional water management entity to provide water development and planning services and other services to a river basin or portion of a river basin.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each river authority for which the governor was not required to designate a presiding officer of the board of directors for that river authority before the effective date of this Act, the governor shall designate a presiding officer of the board of directors of the river authority not later than January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