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86R16227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dissolution of a direct-support organization established by the Prepaid Higher Education Tuition Board and the transfer of funds related to prepaid higher education tuition scholarships to the Texas Match the Promise Foundation or a successor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54.633, Education Code, is amended by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dissolve a direct-support organization established under Subsection (e) if the comptroller determines that the purpose of the organization has been substantially complied with and orders the dissolution. </w:t>
      </w:r>
      <w:r>
        <w:rPr>
          <w:u w:val="single"/>
        </w:rPr>
        <w:t xml:space="preserve"> </w:t>
      </w:r>
      <w:r>
        <w:rPr>
          <w:u w:val="single"/>
        </w:rPr>
        <w:t xml:space="preserve">On dissolution of the organization, title to all funds and property held by the organization is transferred to the Texas Match the Promise Foundation or a successor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