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Turner of Tarrant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Paxton)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2668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30,</w:t>
      </w:r>
      <w:r xml:space="preserve">
        <w:t> </w:t>
      </w:r>
      <w:r>
        <w:t xml:space="preserve">2019; May</w:t>
      </w:r>
      <w:r xml:space="preserve">
        <w:t> </w:t>
      </w:r>
      <w:r>
        <w:t xml:space="preserve">1,</w:t>
      </w:r>
      <w:r xml:space="preserve">
        <w:t> </w:t>
      </w:r>
      <w:r>
        <w:t xml:space="preserve">2019, read first time and referred to Committee on Higher Education; May</w:t>
      </w:r>
      <w:r xml:space="preserve">
        <w:t> </w:t>
      </w:r>
      <w:r>
        <w:t xml:space="preserve">19,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9, Nays 0; May</w:t>
      </w:r>
      <w:r xml:space="preserve">
        <w:t> </w:t>
      </w:r>
      <w:r>
        <w:t xml:space="preserve">19,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Bettencourt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Buckingham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Flores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Taylor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Watson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dissolution of a direct-support organization established by the Prepaid Higher Education Tuition Board and the transfer of funds related to prepaid higher education tuition scholarships to the Texas Match the Promise Foundation or a successor entity.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54.633, Education Code, is amended by adding Subsection (n)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(n)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comptroller may dissolve a direct-support organization established under Subsection (e) if the comptroller determines that the purpose of the organization has been substantially complied with and orders the dissolution. </w:t>
      </w:r>
      <w:r>
        <w:rPr>
          <w:u w:val="single"/>
        </w:rPr>
        <w:t xml:space="preserve"> </w:t>
      </w:r>
      <w:r>
        <w:rPr>
          <w:u w:val="single"/>
        </w:rPr>
        <w:t xml:space="preserve">On dissolution of the organization, title to all funds and property held by the organization is transferred to the Texas Match the Promise Foundation or a successor entity.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2668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