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86R20652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2672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2672:</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2672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conducted by the Department of Public Safety on the investigation and prosecution of sexual assault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420, Government Code, is amended by adding Section 420.016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420.016.</w:t>
      </w:r>
      <w:r>
        <w:rPr>
          <w:u w:val="single"/>
        </w:rPr>
        <w:t xml:space="preserve"> </w:t>
      </w:r>
      <w:r>
        <w:rPr>
          <w:u w:val="single"/>
        </w:rPr>
        <w:t xml:space="preserve"> </w:t>
      </w:r>
      <w:r>
        <w:rPr>
          <w:u w:val="single"/>
        </w:rPr>
        <w:t xml:space="preserve">STUDY AND REPORT REGARDING INVESTIGATION AND PROSECUTION OF SEXUAL ASSAULT OFFENSES.  (a)  The department shall conduct a study regarding the investigation and prosecution of sexual assault offenses to determine the rate of case attrition for those offenses and the reasons for the case attrition.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the department shall compile information relating to the commission of offenses under Sections 22.011 and 22.021, Penal Code, including information regarding the number of cases: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which the law enforcement agency investigating the offense forwarded the case to the appropriate local county or district attorney, including cases that are prosecuted as a different criminal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closed or classified as inactive by the law enforcement agency without forwarding the case to the appropriate local county or district attorney, and the reasons for that closure or classification;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the local county or district attorney did not prosecute the offense, and the reasons for not prosecuting the offense, including whether the offense was referred to a grand jury;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dismissed after an indictment had been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the governmental entities that possess information required by Subsection (b) and require each of those entities to report the information to the department in the manner prescribed by the department.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department shall submit to the governor, the lieutenant governor, and each member of the legislature and publish on the department's Internet website a report on the results of the department's study under this section and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