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repeal of the provisions providing for the suspension of the collection of certain fees when the balance in the oil and gas regulation and cleanup fund exceeds a specified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81.116(d),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comptroller shall suspend collection of the fee in the manner provided by Section 81.067.</w:t>
      </w:r>
      <w:r>
        <w:t xml:space="preserve">]</w:t>
      </w:r>
      <w:r xml:space="preserve">
        <w:t> </w:t>
      </w:r>
      <w:r xml:space="preserve">
        <w:t> </w:t>
      </w:r>
      <w:r>
        <w:t xml:space="preserve">The exemptions and reductions set out in Sections 202.052, 202.054, 202.056, 202.057, 202.059, and 202.060, Tax Code, do not affect the fee imposed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81.117(d),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comptroller shall suspend collection of the fee in the manner provided by Section 81.067.</w:t>
      </w:r>
      <w:r>
        <w:t xml:space="preserve">]</w:t>
      </w:r>
      <w:r xml:space="preserve">
        <w:t> </w:t>
      </w:r>
      <w:r xml:space="preserve">
        <w:t> </w:t>
      </w:r>
      <w:r>
        <w:t xml:space="preserve">The exemptions and reductions set out in Sections 201.053, 201.057, 201.058, and 202.060, Tax Code, do not affect the fee imposed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81.067(b), Natural Resources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