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86R12393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or sale of a law enforcement dog to a peace officer, an honorably retired peace officer, or a survivor of a deceased peace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614, Government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TRANSFER OF LAW ENFORCEMENT DOG TO PEACE OFFICER, HONORABLY RETIRED PEACE OFFICER, OR SURVIVOR OF DECEASED PEACE OFFICER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a state agency or a political subdivision, including a county, municipality, school district, special district, or joint board created under Section 22.074, Transportation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dog" means a dog owned by a governmental entity that is assigned to a peace officer for law enforcement purposes.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COMPETITIVE BIDDING PROVISIONS INAPPLICABLE.  A transfer authorized under this subchapter is not subject to competitive bidding, salvage property disposition, or similar requirements that would otherwise be applicable to the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OF RETIRED LAW ENFORCEMENT DOG TO PEACE OFFICER.  At the request of a peace officer who is the handler of a law enforcement dog that is to be retired from service, the governmental entity that owns the dog shall transfer ownership of the dog to the peace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LAW ENFORCEMENT DOG BY HONORABLY RETIRED PEACE OFFICER.  On the request of a peace officer who retires honorably and who has been the handler of a law enforcement dog, a governmental entity shall allow the peace officer to purchase the dog.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LAW ENFORCEMENT DOG BY SURVIVING SPOUSE, CHILD, OR PARENT OF DECEASED PEACE OFFICER.  (a)  For a law enforcement dog whose handler died while commissioned, the governmental entity that owns the dog may sell the dog to, in order of priority: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surviving spouse of the deceased peace officer;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of the deceased peace officer;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parent of the deceased peace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entity may sell a dog under Subsection (a) regardless of whether the officer died while discharging the officer's official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614.226.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PRICE OF LAW ENFORCEMENT DOG.  A governmental entity shall establish the amount for which a law enforcement dog may be purchased under this subchapter, which may not exceed fair market value.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