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86R10017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2684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the sales tax for items sold by a nonprofit organization at a county fair.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151.3102.</w:t>
      </w:r>
      <w:r>
        <w:rPr>
          <w:u w:val="single"/>
        </w:rPr>
        <w:t xml:space="preserve"> </w:t>
      </w:r>
      <w:r>
        <w:rPr>
          <w:u w:val="single"/>
        </w:rPr>
        <w:t xml:space="preserve"> </w:t>
      </w:r>
      <w:r>
        <w:rPr>
          <w:u w:val="single"/>
        </w:rPr>
        <w:t xml:space="preserve">SALE BY NONPROFIT ORGANIZATION AT COUNTY FAIR.  The sale of a taxable item is exempt from the taxes imposed by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seller or retailer is a nonprofit organization that is exempt from federal income taxation under Section 501(a), Internal Revenue Code of 1986, by being listed as an exempt organization in Section 501(c)(3) of that code;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sale takes place at a county fair;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purchaser is a person attending or participating in the fair.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do not affect tax liability accruing before the effective date of this Act. </w:t>
      </w:r>
      <w:r>
        <w:t xml:space="preserve"> </w:t>
      </w:r>
      <w:r>
        <w:t xml:space="preserve">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