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2686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2686:</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dispute relating to a denial of coverage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2210.573, Insurance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Subject to Section 2210.575, if the association wholly or partly denies a claim under this section, a claimant may maintain an action against the association concerning the denial regardless of whether the association later accepts the previously denied portion of the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2210.576(a),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only issues a claimant may raise in an action brought against the association under Section 2210.575 are:</w:t>
      </w:r>
    </w:p>
    <w:p w:rsidR="003F3435" w:rsidRDefault="0032493E">
      <w:pPr>
        <w:spacing w:line="480" w:lineRule="auto"/>
        <w:ind w:firstLine="1440"/>
        <w:jc w:val="both"/>
      </w:pPr>
      <w:r>
        <w:t xml:space="preserve">(1)</w:t>
      </w:r>
      <w:r xml:space="preserve">
        <w:t> </w:t>
      </w:r>
      <w:r xml:space="preserve">
        <w:t> </w:t>
      </w:r>
      <w:r>
        <w:t xml:space="preserve">whether the association's denial of coverage was proper</w:t>
      </w:r>
      <w:r>
        <w:rPr>
          <w:u w:val="single"/>
        </w:rPr>
        <w:t xml:space="preserve">, regardless of whether the association later accepts the claim</w:t>
      </w:r>
      <w:r>
        <w:t xml:space="preserve">; and</w:t>
      </w:r>
    </w:p>
    <w:p w:rsidR="003F3435" w:rsidRDefault="0032493E">
      <w:pPr>
        <w:spacing w:line="480" w:lineRule="auto"/>
        <w:ind w:firstLine="1440"/>
        <w:jc w:val="both"/>
      </w:pPr>
      <w:r>
        <w:t xml:space="preserve">(2)</w:t>
      </w:r>
      <w:r xml:space="preserve">
        <w:t> </w:t>
      </w:r>
      <w:r xml:space="preserve">
        <w:t> </w:t>
      </w:r>
      <w:r>
        <w:t xml:space="preserve">the amount of the damages described by Subsection (b) to which the claimant is entitled, if 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