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86R12307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 Capriglione, Bernal, Blanco, Wray</w:t>
      </w:r>
      <w:r xml:space="preserve">
        <w:tab wTab="150" tlc="none" cTlc="0"/>
      </w:r>
      <w:r>
        <w:t xml:space="preserve">H.B.</w:t>
      </w:r>
      <w:r xml:space="preserve">
        <w:t> </w:t>
      </w:r>
      <w:r>
        <w:t xml:space="preserve">No.</w:t>
      </w:r>
      <w:r xml:space="preserve">
        <w:t> </w:t>
      </w:r>
      <w:r>
        <w:t xml:space="preserve">2689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cybersecurity coordinator by each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37, Education Code, is amended by adding Section 37.116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37.116.</w:t>
      </w:r>
      <w:r>
        <w:rPr>
          <w:u w:val="single"/>
        </w:rPr>
        <w:t xml:space="preserve"> </w:t>
      </w:r>
      <w:r>
        <w:rPr>
          <w:u w:val="single"/>
        </w:rPr>
        <w:t xml:space="preserve"> </w:t>
      </w:r>
      <w:r>
        <w:rPr>
          <w:u w:val="single"/>
        </w:rPr>
        <w:t xml:space="preserve">DISTRICT CYBERSECURITY.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"Cyber attack"</w:t>
      </w:r>
      <w:r>
        <w:rPr>
          <w:u w:val="single"/>
        </w:rPr>
        <w:t xml:space="preserve"> </w:t>
      </w:r>
      <w:r>
        <w:rPr>
          <w:u w:val="single"/>
        </w:rPr>
        <w:t xml:space="preserve">means an attempt to damage, disrupt, or gain unauthorized access to a computer, computer network, or computer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"Cybersecurity"</w:t>
      </w:r>
      <w:r>
        <w:rPr>
          <w:u w:val="single"/>
        </w:rPr>
        <w:t xml:space="preserve"> </w:t>
      </w:r>
      <w:r>
        <w:rPr>
          <w:u w:val="single"/>
        </w:rPr>
        <w:t xml:space="preserve">means the measures taken to protect a computer, computer network, or computer system against unauthorized use or access.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superintendent of each school district shall designate a cybersecurity coordinator to serve as a liaison between the district and the agency in cybersecurity matters.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cybersecurity coordinator shall report to the agency any cyber attack, attempted cyber attack, or other cybersecurity incident against the district cyberinfrastructure as soon as practicable after the discovery of the attack or incident.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reported under Subsection (c)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