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VanDeaver, 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restricting the use of personally identifiable student information by an operator of a website, online service, online application, or mobile application used for a school purpose and providing an exemption from certain restrictions for a national assessment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32.155,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32.155.</w:t>
      </w:r>
      <w:r xml:space="preserve">
        <w:t> </w:t>
      </w:r>
      <w:r xml:space="preserve">
        <w:t> </w:t>
      </w:r>
      <w:r>
        <w:t xml:space="preserve">PROTECTION OF COVERED INFORMATION. 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An operator must implement and maintain reasonable security procedures and practices designed to protect any covered information from unauthorized access, deletion, use, modification, or disclosure.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operator that has been approved by the agency or had a product adopted by the agency and possesses any covered information must use the unique identifier established by the Texas Student Data System (TSDS) or a successor data management system maintained by the agency for any account creation, data upload, data transmission, analysis, or reporting to mask all personally identifiable student information. </w:t>
      </w:r>
      <w:r>
        <w:rPr>
          <w:u w:val="single"/>
        </w:rPr>
        <w:t xml:space="preserve"> </w:t>
      </w:r>
      <w:r>
        <w:rPr>
          <w:u w:val="single"/>
        </w:rPr>
        <w:t xml:space="preserve">The operator shall adhere to a state-required student data sharing agreement that includes an established unique identifier standard for all operators as prescribed by the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district, open-enrollment charter school, regional education service center, or other local education agency may require an operator that contracts directly with the entity to adhere to a state-approved student data sharing agreement that includes the use of an established unique identifier standard for all operators as prescribed by the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national assessment provider who receives covered information from a student or from a school district or campus on behalf of a student is not required to comply with Subsection (b) or (c) if the provider receives the covered information solely to provide access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employment, educational scholarships, financial aid, or postsecondary educational opportunities;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educational resources for middle school, junior high school, or high school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