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86R12798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2693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grant program to enhance community-based suicide prevention efforts.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531.09991.</w:t>
      </w:r>
      <w:r>
        <w:rPr>
          <w:u w:val="single"/>
        </w:rPr>
        <w:t xml:space="preserve"> </w:t>
      </w:r>
      <w:r>
        <w:rPr>
          <w:u w:val="single"/>
        </w:rPr>
        <w:t xml:space="preserve"> </w:t>
      </w:r>
      <w:r>
        <w:rPr>
          <w:u w:val="single"/>
        </w:rPr>
        <w:t xml:space="preserve">GRANT PROGRAM FOR COMMUNITY-BASED SUICIDE PREVENTION EFFORTS.  (a)  To the extent money is available to the commission for that purpose, the commission shall establish a program to provide grants to quasi-governmental or nonprofit entities for the purpose of establishing and enhancing community-based suicide prevention efforts.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Grant money awarded under this section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support the implementation, administration, and coordination of the 2018 Texas State Plan for Suicide Prevention adopted by the Texas Suicide Prevention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the operations of the quasi-governmental and nonprofit entities receiving grant money to expand local community-based suicide prevention efforts;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suicide prevention efforts in certain communities of practice, including veterans, primary and secondary education students, higher education students, persons who reside in rural areas, and persons working in health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 statewide partnerships and collaborations;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expand the capacities of community-based suicide prevention programs to collect and analyze information to inform suicide prevention strategies;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foster and promote emerging and promising best practices in suicide prevention;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offer outreach and communications structures supporting the 2018 Texas State Plan for Suicide Prevention;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subcontract with another quasi-governmental or nonprofit entity acceptable to the commission to accomplish the purposes described by Subdivisions (1)-(7).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531.09991,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