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insurer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an insurer to invest in a bond exchange-traded fund that has: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embedded structural features designed to deliver performance that does not track the full unlevered and positive return of the underlying index or exposure, including a leveraged or inverse exchange-traded fund;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expense ratio in excess of 100 basis points.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(a)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insurance company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15 percent of the insurance company's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an insurance company to invest in a bond exchange-traded fund that has: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embedded structural features designed to deliver performance that does not track the full unlevered and positive return of the underlying index or exposure, including a leveraged or inverse exchange-traded fund;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expense ratio in excess of 100 basis points.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bond exchange-traded fund described by Subsection (a) shall be considered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(a)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425, Insurance Code, is amended by adding Section 425.2061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425.2061.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 FOR ALL FUNDS: BOND EXCHANGE-TRADED FUNDS.  Subject to Section 425.157(b), an insurer may invest any of the insurer's funds and accumulations in a bond exchange-traded fund described by Section 425.1231(a).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2694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voting; and that the House concurred in Senate amendments to H.B. No. 2694 on May 22, 2019,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2694 was passed by the Senate, with amendments, on May 14,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