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86R6054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insurers to make investments in bond exchange-traded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424, Insurance Code, is amended by adding Section 424.075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424.075.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insurer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statutory long-term bond obligation on Internal Revenue Service Form 1040, Schedule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insurer's investment in the exchange-traded fund does not exceed 15 percent of the insurer's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deposit with the department shares of a bond exchange-traded fund described by Subsection (a) as a statutory deposit if state law requires a statutory deposit from the insurer.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425, Insurance Code, is amended by adding Section 425.1231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425.1231.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insurance company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statutory long-term bond obligation on Internal Revenue Service Form 1040, Schedule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insurance company's investment in the exchange-traded fund does not exceed the investment amount limit in Section 425.157(b).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deposit with the department shares of a bond exchange-traded fund described by Subsection (a) as a statutory deposit if state law requires a statutory deposit from the insurance company.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bond exchange-traded fund described by Subsection (a) shall be considered a business entity for purposes of Section 425.110.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