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2694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2694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certain insurers to make investments in bond exchange-traded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424, Insurance Code, is amended by adding Section 424.075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424.075.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INVESTMENTS: BOND EXCHANGE-TRADED FUNDS.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An insurer may invest the insurer's funds in excess of minimum capital and surplus in shares of a bond exchange-traded fund registered under the Investment Company Act of 1940 (15 U.S.C. Section 80a-1 et seq.), as amended,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exchange-traded fund is solvent and reported at least $100 million of net assets in the exchange-traded fund's latest annual or more recent certified audited financial statement;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securities valuation office has designated the exchange-traded fund as meeting the criteria to be placed on the list promulgated by the securities valuation office of exchange-traded funds eligible for reporting as a statutory long-term bond obligation on Internal Revenue Service Form 1040, Schedule 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insurer's investment in the exchange-traded fund does not exceed 15 percent of the insurer's capital and surplus.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authorize an insurer to invest in a bond exchange-traded fund that has: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embedded structural features designed to deliver performance that does not track the full unlevered and positive return of the underlying index or exposure, including a leveraged or inverse exchange-traded fund;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expense ratio in excess of 100 basis points.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insurer may deposit with the department shares of a bond exchange-traded fund described by Subsection (a) as a statutory deposit if state law requires a statutory deposit from the insurer.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425, Insurance Code, is amended by adding Section 425.1231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425.1231.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INVESTMENTS: BOND EXCHANGE-TRADED FUNDS.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An insurance company may invest the insurer's funds in excess of minimum capital and surplus in shares of a bond exchange-traded fund registered under the Investment Company Act of 1940 (15 U.S.C. Section 80a-1 et seq.), as amended,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exchange-traded fund is solvent and reported at least $100 million of net assets in the exchange-traded fund's latest annual or more recent certified audited financial statement;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securities valuation office has designated the exchange-traded fund as meeting the criteria to be placed on the list promulgated by the securities valuation office of exchange-traded funds eligible for reporting as a statutory long-term bond obligation on Internal Revenue Service Form 1040, Schedule 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insurance company's investment in the exchange-traded fund does not exceed 15 percent of the insurance company's capital and surplus.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authorize an insurance company to invest in a bond exchange-traded fund that has: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embedded structural features designed to deliver performance that does not track the full unlevered and positive return of the underlying index or exposure, including a leveraged or inverse exchange-traded fund;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expense ratio in excess of 100 basis points.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bond exchange-traded fund described by Subsection (a) shall be considered a business entity for purposes of Section 425.110.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 may deposit with the department shares of a bond exchange-traded fund described by Subsection (a) as a statutory deposit if state law requires a statutory deposit from the insurance company.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2694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