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2697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fraudulent use or possession of identifying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502.001(c), Business &amp; Commerce Code, is amended to read as follows:</w:t>
      </w:r>
    </w:p>
    <w:p w:rsidR="003F3435" w:rsidRDefault="0032493E">
      <w:pPr>
        <w:spacing w:line="480" w:lineRule="auto"/>
        <w:ind w:firstLine="720"/>
        <w:jc w:val="both"/>
      </w:pPr>
      <w:r>
        <w:t xml:space="preserve">(c)</w:t>
      </w:r>
      <w:r xml:space="preserve">
        <w:t> </w:t>
      </w:r>
      <w:r xml:space="preserve">
        <w:t> </w:t>
      </w:r>
      <w:r>
        <w:t xml:space="preserve">A restaurant or bar owner shall display in a prominent place on the premises of the restaurant or bar a sign stating in letters at least one-half inch high: "UNDER SECTION 32.51, PENAL CODE, IT IS A STATE JAIL FELONY (PUNISHABLE BY CONFINEMENT IN A STATE JAIL FOR NOT MORE THAN TWO YEARS) TO OBTAIN, POSSESS, TRANSFER, OR USE A CUSTOMER'S DEBIT CARD OR CREDIT CARD NUMBER WITHOUT THE CUSTOMER'S CONSENT </w:t>
      </w:r>
      <w:r>
        <w:rPr>
          <w:u w:val="single"/>
        </w:rPr>
        <w:t xml:space="preserve">OR EFFECTIVE CONSENT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32.51(b),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with the intent to harm or defraud another, obtains, possesses, transfers, or uses an item of:</w:t>
      </w:r>
    </w:p>
    <w:p w:rsidR="003F3435" w:rsidRDefault="0032493E">
      <w:pPr>
        <w:spacing w:line="480" w:lineRule="auto"/>
        <w:ind w:firstLine="1440"/>
        <w:jc w:val="both"/>
      </w:pPr>
      <w:r>
        <w:t xml:space="preserve">(1)</w:t>
      </w:r>
      <w:r xml:space="preserve">
        <w:t> </w:t>
      </w:r>
      <w:r xml:space="preserve">
        <w:t> </w:t>
      </w:r>
      <w:r>
        <w:t xml:space="preserve">identifying information of another person without the other person's consent </w:t>
      </w:r>
      <w:r>
        <w:rPr>
          <w:u w:val="single"/>
        </w:rPr>
        <w:t xml:space="preserve">or effective consent</w:t>
      </w:r>
      <w:r>
        <w:t xml:space="preserve">;</w:t>
      </w:r>
    </w:p>
    <w:p w:rsidR="003F3435" w:rsidRDefault="0032493E">
      <w:pPr>
        <w:spacing w:line="480" w:lineRule="auto"/>
        <w:ind w:firstLine="1440"/>
        <w:jc w:val="both"/>
      </w:pPr>
      <w:r>
        <w:t xml:space="preserve">(2)</w:t>
      </w:r>
      <w:r xml:space="preserve">
        <w:t> </w:t>
      </w:r>
      <w:r xml:space="preserve">
        <w:t> </w:t>
      </w:r>
      <w:r>
        <w:t xml:space="preserve">information concerning a deceased natural person, including a stillborn infant or fetus, that would be identifying information of that person were that person alive, if the item of information is obtained, possessed, transferred, or used without legal authorization; or</w:t>
      </w:r>
    </w:p>
    <w:p w:rsidR="003F3435" w:rsidRDefault="0032493E">
      <w:pPr>
        <w:spacing w:line="480" w:lineRule="auto"/>
        <w:ind w:firstLine="1440"/>
        <w:jc w:val="both"/>
      </w:pPr>
      <w:r>
        <w:t xml:space="preserve">(3)</w:t>
      </w:r>
      <w:r xml:space="preserve">
        <w:t> </w:t>
      </w:r>
      <w:r xml:space="preserve">
        <w:t> </w:t>
      </w:r>
      <w:r>
        <w:t xml:space="preserve">identifying information of a child younger than 18 years of 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2697 was passed by the House on April 24, 2019, by the following vote:</w:t>
      </w:r>
      <w:r xml:space="preserve">
        <w:t> </w:t>
      </w:r>
      <w:r xml:space="preserve">
        <w:t> </w:t>
      </w:r>
      <w:r>
        <w:t xml:space="preserve">Yeas 138, Nays 1,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2697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