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fraudulent use or possession of identifying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w:t>
      </w:r>
      <w:r>
        <w:rPr>
          <w:u w:val="single"/>
        </w:rPr>
        <w:t xml:space="preserve">OR EFFECTIVE CONSENT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w:t>
      </w:r>
      <w:r>
        <w:rPr>
          <w:u w:val="single"/>
        </w:rPr>
        <w:t xml:space="preserve">or effective consent</w:t>
      </w:r>
      <w:r>
        <w:t xml:space="preserve">;</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