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Goldman, Hernandez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2698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Zaffirini)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23,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24,</w:t>
      </w:r>
      <w:r xml:space="preserve">
        <w:t> </w:t>
      </w:r>
      <w:r>
        <w:t xml:space="preserve">2019, read first time and referred to Committee on Business &amp; Commerce; May</w:t>
      </w:r>
      <w:r xml:space="preserve">
        <w:t> </w:t>
      </w:r>
      <w:r>
        <w:t xml:space="preserve">10,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10,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administration of the practical examination required for a barbering or cosmetology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1603.252(a),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 may accept, </w:t>
      </w:r>
      <w:r>
        <w:rPr>
          <w:u w:val="single"/>
        </w:rPr>
        <w:t xml:space="preserve">approve,</w:t>
      </w:r>
      <w:r>
        <w:t xml:space="preserve"> develop, or contract for the examinations required by this chapter, including the administration of the examinations.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1603.256(c),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following persons may administer a practical examination required under this subchapter: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department;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person with whom the department contracts under Section 1603.252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barber school, private beauty culture school, or a public secondary or postsecondary beauty culture school that is approved by the department to administer the examination under Section 1603.252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