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86R5942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jailer training and continuing education requirements regarding interacting with pregnant women confined in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511, Government Code, is amended by adding Section 511.00906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511.00906.</w:t>
      </w:r>
      <w:r>
        <w:rPr>
          <w:u w:val="single"/>
        </w:rPr>
        <w:t xml:space="preserve"> </w:t>
      </w:r>
      <w:r>
        <w:rPr>
          <w:u w:val="single"/>
        </w:rPr>
        <w:t xml:space="preserve"> </w:t>
      </w:r>
      <w:r>
        <w:rPr>
          <w:u w:val="single"/>
        </w:rPr>
        <w:t xml:space="preserve">TRAINING PROGRAM REGARDING PREGNANT PRISONERS.  The commission shall adopt a training program for county jailers that consists of education and training concerning interacting with pregnant prisoners.  The program must be based on obstetrical and gynecological best practices and include general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pregnancy, labor, delivery, and recovery;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when a woman is in labor;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 prenatal and postnatal care and first aid techniques specific to pregnant women;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factors that increase the risk of a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1701.310(a),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 person may not be appointed as a county jailer, except on a temporary basis, unless the person has satisfactorily completed a preparatory training program, as required by the commission, in the operation of a county jail at a school operated or licensed by the commission.</w:t>
      </w:r>
      <w:r xml:space="preserve">
        <w:t> </w:t>
      </w:r>
      <w:r xml:space="preserve">
        <w:t> </w:t>
      </w:r>
      <w:r>
        <w:t xml:space="preserve">The training program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consist of at least eight hours of mental health training approved by the commission and the Commission on Jail Standards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training concerning interacting with pregnant women confined in jail based on the program adopted under Section 511.00906,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1701.352,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require a county that appoints or employs a county jailer to provide each jailer with the training program adopted under Section 511.00906, Government Code, at least once every 48 months.  The training must be provided by a medical professional.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1701.310(a), Occupations Code, as amended by this Act, applies only to a person appointed as a county jailer on or after January 1, 2020.  A person appointed as a county jailer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Commission on Jail Standards shall adopt the training program required by Section 511.00906, Government Code, as added by this Act; and</w:t>
      </w:r>
    </w:p>
    <w:p w:rsidR="003F3435" w:rsidRDefault="0032493E">
      <w:pPr>
        <w:spacing w:line="480" w:lineRule="auto"/>
        <w:ind w:firstLine="1440"/>
        <w:jc w:val="both"/>
      </w:pPr>
      <w:r>
        <w:t xml:space="preserve">(2)</w:t>
      </w:r>
      <w:r xml:space="preserve">
        <w:t> </w:t>
      </w:r>
      <w:r xml:space="preserve">
        <w:t> </w:t>
      </w:r>
      <w:r>
        <w:t xml:space="preserve">the Texas Commission on Law Enforcement shall adopt rules necessary to implement Section 1701.352(b-1), Occupations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