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86R13908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2703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maternal mortality and morbidity data registry.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34, Health and Safety Code, is amended by adding Section 34.019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34.019.</w:t>
      </w:r>
      <w:r>
        <w:rPr>
          <w:u w:val="single"/>
        </w:rPr>
        <w:t xml:space="preserve"> </w:t>
      </w:r>
      <w:r>
        <w:rPr>
          <w:u w:val="single"/>
        </w:rPr>
        <w:t xml:space="preserve"> </w:t>
      </w:r>
      <w:r>
        <w:rPr>
          <w:u w:val="single"/>
        </w:rPr>
        <w:t xml:space="preserve">DATA REGISTRY.  (a)  In this section, "registry" means the data registry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task force, in collaboration with the commission and participating health care providers, shall establish a data registry on the task force's Internet website that contains data of participating health care providers on the frequency and characteristics of maternal mortality and morbidity during and following delivery.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care provider, including a public or private hospital, medical school, or clinic, may participate in the registry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collecting data at the time a pregnant woman is admitted for delivery, on the day of delivery, 42 days postpartum, and 364 days postpartum;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collected data to the registry on a daily basis;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complying with all applicable federal and state laws relating to confidentiality and quality of health care information for data provided to the registry.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Data collected by a participating health care provider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discharge data cross-referenced with birth and death certificates provided by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clinical data on the health status of patients and the health care provided to those patients by a provider over time,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data on the most common high-risk conditions, such as hemorrhaging and pregnancy-induced hypertension;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notifiable deaths, including stillbirths, infants born alive who die within 12 months of birth, and women who die during pregnancy or were pregnant in the 12 months preceding death;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demographic data from a provider's admission information;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data quality indicators to ensure the data is not missing or inconsistent;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provider statistics,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total live births;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maternal age distributions;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maternal and infant race and ethnicity distributions;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health benefit plan issuer distributions;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incidence of diabetes, hypertension, and hemorrhage among patients;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gestational age distributions;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birth weight distributions;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total preterm birth rate;</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rate of vaginal deliveries;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rate of cesarean sections.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task force shall ensure the registry's data is updated at the time a participating provider enters data into the registry.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task force shall annually analyze the data collected for the registry and prepare and submit a report on the analysis to the department and all participating health care providers.  The task force shall publish the report on the task force's Internet website.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task force shall fund the registry using existing resources and grants and donations provided for the registry.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executive commissioner shall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The executive commissioner of the Health and Human Services Commission shall adopt rules necessary to implement Section 34.019, Health and Safety Code, as added by this Act, not later than December 1, 2019.</w:t>
      </w:r>
    </w:p>
    <w:p w:rsidR="003F3435" w:rsidRDefault="0032493E">
      <w:pPr>
        <w:spacing w:line="480" w:lineRule="auto"/>
        <w:ind w:firstLine="720"/>
        <w:jc w:val="both"/>
      </w:pPr>
      <w:r>
        <w:t xml:space="preserve">(b)</w:t>
      </w:r>
      <w:r xml:space="preserve">
        <w:t> </w:t>
      </w:r>
      <w:r xml:space="preserve">
        <w:t> </w:t>
      </w:r>
      <w:r>
        <w:t xml:space="preserve">The Maternal Mortality and Morbidity Task Force shall establish the data registry under Section 34.019, Health and Safety Code, as added by this Act, not later than December 1, 2019.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