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86R25599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2715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2715: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2715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Department of Transportation on shared motor-assisted scooters.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DEFINITION.  In this Act, "motor-assisted scooter" has the meaning assigned by Section 551.351,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STUDY AND REPORT.  (a) </w:t>
      </w:r>
      <w:r>
        <w:t xml:space="preserve"> </w:t>
      </w:r>
      <w:r>
        <w:t xml:space="preserve">The Texas Department of Transportation, in consultation with the Texas A&amp;M Transportation Institute or other institutions of higher education, local governments, or industry representatives, shall conduct a study on the use of shared motor-assisted scooters.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study must examine: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legal definition and existing local regulation of shared motor-assisted scooters;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liability issues related to shared motor-assisted scooter use and accidents;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operation of shared motor-assisted scooters,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safety standards;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interaction with pedestrians;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shared infrastructure;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operator qualifications;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economic impact of shared motor-assisted scooters, including any burdens on or benefits to local governments;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accessibility of shared motor-assisted scooters;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shared motor-assisted scooters' impact on public transportation;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social norms of shared motor-assisted scooter use, including shared motor-assisted scooter etiquette;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how shared motor-assisted scooters have been and may be integrated into the overall transportation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December 1, 2020, the Texas Department of Transportation shall submit to the legislature a report on the findings of the study conducted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January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2715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