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86R10578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proxy for a member of the legislature visiting a facility operated by or under contract with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501.010(a-1), Government Code, is transferred to Chapter 493, Government Code, redesignated as Section 493.032,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VISITATION FOR PURPOSES OF OBSERVING OPERATIONS OF CERTAIN FACILITIES.  (a)</w:t>
      </w:r>
      <w:r>
        <w:t xml:space="preserve"> [</w:t>
      </w:r>
      <w:r>
        <w:rPr>
          <w:strike/>
        </w:rPr>
        <w:t xml:space="preserve">(a-1)</w:t>
      </w:r>
      <w:r>
        <w:t xml:space="preserve">]  The </w:t>
      </w:r>
      <w:r>
        <w:rPr>
          <w:u w:val="single"/>
        </w:rPr>
        <w:t xml:space="preserve">department</w:t>
      </w:r>
      <w:r>
        <w:t xml:space="preserve"> [</w:t>
      </w:r>
      <w:r>
        <w:rPr>
          <w:strike/>
        </w:rPr>
        <w:t xml:space="preserve">institutional division</w:t>
      </w:r>
      <w:r>
        <w:t xml:space="preserve">] shall allow the governor, members of the legislature, </w:t>
      </w:r>
      <w:r>
        <w:rPr>
          <w:u w:val="single"/>
        </w:rPr>
        <w:t xml:space="preserve">persons designated under Subsection (b),</w:t>
      </w:r>
      <w:r>
        <w:t xml:space="preserve"> and members of the executive and judicial branches to enter at proper hours any part of a facility operated by </w:t>
      </w:r>
      <w:r>
        <w:rPr>
          <w:u w:val="single"/>
        </w:rPr>
        <w:t xml:space="preserve">or under contract with the department</w:t>
      </w:r>
      <w:r>
        <w:t xml:space="preserve"> [</w:t>
      </w:r>
      <w:r>
        <w:rPr>
          <w:strike/>
        </w:rPr>
        <w:t xml:space="preserve">the division</w:t>
      </w:r>
      <w:r>
        <w:t xml:space="preserve">] where </w:t>
      </w:r>
      <w:r>
        <w:rPr>
          <w:u w:val="single"/>
        </w:rPr>
        <w:t xml:space="preserve">an inmate or a defendant described by Section 507.002 is</w:t>
      </w:r>
      <w:r>
        <w:t xml:space="preserve"> [</w:t>
      </w:r>
      <w:r>
        <w:rPr>
          <w:strike/>
        </w:rPr>
        <w:t xml:space="preserve">inmates are</w:t>
      </w:r>
      <w:r>
        <w:t xml:space="preserve">] housed or worked[</w:t>
      </w:r>
      <w:r>
        <w:rPr>
          <w:strike/>
        </w:rPr>
        <w:t xml:space="preserve">,</w:t>
      </w:r>
      <w:r>
        <w:t xml:space="preserve">] for the purpose of observing the operations of the </w:t>
      </w:r>
      <w:r>
        <w:rPr>
          <w:u w:val="single"/>
        </w:rPr>
        <w:t xml:space="preserve">facility</w:t>
      </w:r>
      <w:r>
        <w:t xml:space="preserve"> [</w:t>
      </w:r>
      <w:r>
        <w:rPr>
          <w:strike/>
        </w:rPr>
        <w:t xml:space="preserve">division</w:t>
      </w:r>
      <w:r>
        <w:t xml:space="preserve">].  A visitor described by this subsection may talk with inmates </w:t>
      </w:r>
      <w:r>
        <w:rPr>
          <w:u w:val="single"/>
        </w:rPr>
        <w:t xml:space="preserve">or defendants</w:t>
      </w:r>
      <w:r>
        <w:t xml:space="preserve"> away from [</w:t>
      </w:r>
      <w:r>
        <w:rPr>
          <w:strike/>
        </w:rPr>
        <w:t xml:space="preserve">institutional division</w:t>
      </w:r>
      <w:r>
        <w:t xml:space="preserv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member of the legislature may designate a person to serve as the member's proxy for the purpose of observing the operations of a facility described by Subsection (a) as authorized by that subsection.  A designation made under this subsection must be approved by the department and is valid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that the person is designated under this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member ceases to be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eligible to be designated as a proxy under Subsection (b)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designation is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is 18 years of age or 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are no charges pending against the person for the commission of any offense, other than a traffic offense punishable by fine only;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provides to the department a letter from the person's supervision officer stating that the officer has been informed that the person is interested in serving as a proxy, if the person is on community supervision, parole, or mandatory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during the 12-month period preceding the date the designation is made, been convicted of or placed on deferred adjudication community supervision under Subchapter C, Chapter 42A, Code of Criminal Procedure, for any offense, other than a traffic offense punishable by fine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during the 24-month period preceding the date the designation is made, served any portion of a term of confinement in a county jail or a facility operated by or under contract with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507.030(a-1),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