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86R4553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2741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fire code to and the inspection of buildings owned or leased by counties;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214, Local Government Code, is amended by adding Section 214.907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214.907.</w:t>
      </w:r>
      <w:r>
        <w:rPr>
          <w:u w:val="single"/>
        </w:rPr>
        <w:t xml:space="preserve"> </w:t>
      </w:r>
      <w:r>
        <w:rPr>
          <w:u w:val="single"/>
        </w:rPr>
        <w:t xml:space="preserve"> </w:t>
      </w:r>
      <w:r>
        <w:rPr>
          <w:u w:val="single"/>
        </w:rPr>
        <w:t xml:space="preserve">INSPECTION OF COUNTY BUILDINGS IN CERTAIN COUNTIES.  (a)</w:t>
      </w:r>
      <w:r>
        <w:rPr>
          <w:u w:val="single"/>
        </w:rPr>
        <w:t xml:space="preserve"> </w:t>
      </w:r>
      <w:r>
        <w:rPr>
          <w:u w:val="single"/>
        </w:rPr>
        <w:t xml:space="preserve"> </w:t>
      </w:r>
      <w:r>
        <w:rPr>
          <w:u w:val="single"/>
        </w:rPr>
        <w:t xml:space="preserve">This section applies only to a county with a population of more than 1.5 million in which more than 75 percent of the population lives in a single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fire marshal shall conduct each inspection required by a municipality, including an inspection for building or fire code compliance, for a building wholly owned or wholly leased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fire marshal may, through a memorandum of understanding, delegate authority to conduct an inspection required under this section to the municipality requiring the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event of a conflict between this section and any other law, this section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C, Chapter 233, Local Government Code, is amended to read as follows:</w:t>
      </w:r>
    </w:p>
    <w:p w:rsidR="003F3435" w:rsidRDefault="0032493E">
      <w:pPr>
        <w:spacing w:line="480" w:lineRule="auto"/>
        <w:jc w:val="center"/>
      </w:pPr>
      <w:r>
        <w:t xml:space="preserve">SUBCHAPTER C.  FIRE CODE</w:t>
      </w:r>
      <w:r>
        <w:rPr>
          <w:u w:val="single"/>
        </w:rPr>
        <w:t xml:space="preserve">:</w:t>
      </w:r>
      <w:r>
        <w:t xml:space="preserve"> [</w:t>
      </w:r>
      <w:r>
        <w:rPr>
          <w:strike/>
        </w:rPr>
        <w:t xml:space="preserve">IN</w:t>
      </w:r>
      <w:r>
        <w:t xml:space="preserve">] UNINCORPORATED AREA </w:t>
      </w:r>
      <w:r>
        <w:rPr>
          <w:u w:val="single"/>
        </w:rPr>
        <w:t xml:space="preserve">AND COUNTY BUILDINGS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233.062(a),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fire code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following buildings constructed in an unincorporated area of the county: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commercial establishment </w:t>
      </w:r>
      <w:r>
        <w:rPr>
          <w:u w:val="single"/>
        </w:rPr>
        <w:t xml:space="preserve">constructed in the unincorporated area of the county</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public building </w:t>
      </w:r>
      <w:r>
        <w:rPr>
          <w:u w:val="single"/>
        </w:rPr>
        <w:t xml:space="preserve">constructed in the unincorporated area of the county</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multifamily residential dwelling consisting of four or more units </w:t>
      </w:r>
      <w:r>
        <w:rPr>
          <w:u w:val="single"/>
        </w:rPr>
        <w:t xml:space="preserve">constructed in the unincorporated area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building that is wholly owned, wholly leased, or subject to an agreement to be wholly leased by a county with a population of more than 1.5 million in which more than 75 percent of the population lives in a single municipality, regardless of whether the building is located in an incorporated area or unincorporated area of the county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352, Local Government Code, is amended by adding Section 352.0165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352.0165.</w:t>
      </w:r>
      <w:r>
        <w:rPr>
          <w:u w:val="single"/>
        </w:rPr>
        <w:t xml:space="preserve"> </w:t>
      </w:r>
      <w:r>
        <w:rPr>
          <w:u w:val="single"/>
        </w:rPr>
        <w:t xml:space="preserve"> </w:t>
      </w:r>
      <w:r>
        <w:rPr>
          <w:u w:val="single"/>
        </w:rPr>
        <w:t xml:space="preserve">INSPECTIONS OF COUNTY OWNED OR LEASED BUILDINGS IN CERTAIN COUNTIES.  (a)</w:t>
      </w:r>
      <w:r>
        <w:rPr>
          <w:u w:val="single"/>
        </w:rPr>
        <w:t xml:space="preserve"> </w:t>
      </w:r>
      <w:r>
        <w:rPr>
          <w:u w:val="single"/>
        </w:rPr>
        <w:t xml:space="preserve"> </w:t>
      </w:r>
      <w:r>
        <w:rPr>
          <w:u w:val="single"/>
        </w:rPr>
        <w:t xml:space="preserve">In this section, "fire or life safety hazard" has the meaning assigned by Section 352.016.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building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wholly owned or wholly leased by a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in a county with a population of more than 1.5 million in which more than 75 percent of the population lives in a single municipality, regardless of whether the building is located in an incorporated or unincorporated area of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fire marshal shall conduct a biennial inspection for fire or life safety hazards of each building to which this section applies.  If the fire marshal determines the presence of a fire or life safety hazard in a building that is wholly owned by the county, the county shall correct the hazard.  If the fire marshal determines the presence of a fire or life safety hazard in a building that is wholly leased by the county, the fire marshal shall order the owner of the building to correct the hazard.  The owner shall correct the hazard in accordance with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fire marshal may conduct further inspections for fire or life safety hazards and take actions necessary to enforce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county fire marshal shall adopt guidelines for an inspection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commissioners court by order may authorize the county fire marshal to charge a fee to the owner of a building wholly leased to the county for an inspection conducted under this section in a reasonable amount determined by the commissioners court to cover the cost of the inspection.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233.062, Local Government Code, as amended by this Act, applies only to a building for which construction or substantial improvement begins on or after the effective date of this Act.  A building for which construction or substantial improvement begins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