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86R20564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2742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the Healthy Texas Women program provider list.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HEALTHY TEXAS WOMEN PROGRAM PROVIDER LIST.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once every six months,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Healthy Texas Women program provider list to 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provider included on the list is participating in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list contains accurate contact information for each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any necessary updates to the Healthy Texas Women program provider list to facilitate women's access to the program's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