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86R11526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audit of health care providers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PROVIDER AUDIT FOR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conduct an audit every six months of each health care provider in the Healthy Texas Women program to determine whether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providing the health care services included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specializes in providing health and family planning services to women.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