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86R13698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manufacturer disclosure of lipstick and lip gloss ingredients and toxic metals.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431, Health and Safety Code, is amended by adding Section 431.144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431.144.</w:t>
      </w:r>
      <w:r>
        <w:rPr>
          <w:u w:val="single"/>
        </w:rPr>
        <w:t xml:space="preserve"> </w:t>
      </w:r>
      <w:r>
        <w:rPr>
          <w:u w:val="single"/>
        </w:rPr>
        <w:t xml:space="preserve"> </w:t>
      </w:r>
      <w:r>
        <w:rPr>
          <w:u w:val="single"/>
        </w:rPr>
        <w:t xml:space="preserve">MANUFACTURER DISCLOSURES: LIPSTICK AND LIP GLOSS COSMETIC.  The executive commissioner by rule shall require a manufacturer that sells a lipstick or lip gloss cosmetic in this state to disclose on the manufacturer's Internet website and the cosmetic label: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toxic metal, including lead, chromium, cadmium, aluminum, and manganese, in the cosmetic, regardless of whether the concentration of the metal in the cosmetic is less than one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each ingredient in the cosmetic, including a fragrance, flavor, and color additive.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431.144,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