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86R13229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2751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disciplinary authority of the Texas Medical Board regarding complaints concerning health care professionals licensed by other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154, Occupations Code, is amended by adding Section 154.059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154.059.</w:t>
      </w:r>
      <w:r>
        <w:rPr>
          <w:u w:val="single"/>
        </w:rPr>
        <w:t xml:space="preserve"> </w:t>
      </w:r>
      <w:r>
        <w:rPr>
          <w:u w:val="single"/>
        </w:rPr>
        <w:t xml:space="preserve"> </w:t>
      </w:r>
      <w:r>
        <w:rPr>
          <w:u w:val="single"/>
        </w:rPr>
        <w:t xml:space="preserve">COMPLAINT CONCERNING PROFESSIONAL LICENSED UNDER OTHER LAW.  Notwithstanding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receipt of a complaint regarding a person who is licensed, registered, or otherwise authorized to practice a profession under this title, other than a physician or other person licensed by the board, the board shall promptly forward a copy of the complaint to the appropriate licensing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may not take disciplinary action against the person based on the complaint if the appropriate licensing agency, after an investigation, takes disciplinary action against the person or dismisses the complaint without taking disciplinary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complaint filed on or after the effective date of this Act. </w:t>
      </w:r>
      <w:r>
        <w:t xml:space="preserve"> </w:t>
      </w:r>
      <w:r>
        <w:t xml:space="preserve">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