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2757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rule of decision in a court of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5.001, Civil Practice and Remedies Code, is amended to read as follows:</w:t>
      </w:r>
    </w:p>
    <w:p w:rsidR="003F3435" w:rsidRDefault="0032493E">
      <w:pPr>
        <w:spacing w:line="480" w:lineRule="auto"/>
        <w:ind w:firstLine="720"/>
        <w:jc w:val="both"/>
      </w:pPr>
      <w:r>
        <w:t xml:space="preserve">Sec.</w:t>
      </w:r>
      <w:r xml:space="preserve">
        <w:t> </w:t>
      </w:r>
      <w:r>
        <w:t xml:space="preserve">5.001.</w:t>
      </w:r>
      <w:r xml:space="preserve">
        <w:t> </w:t>
      </w:r>
      <w:r xml:space="preserve">
        <w:t> </w:t>
      </w:r>
      <w:r>
        <w:t xml:space="preserve">RULE OF DECISION.  </w:t>
      </w:r>
      <w:r>
        <w:rPr>
          <w:u w:val="single"/>
        </w:rPr>
        <w:t xml:space="preserve">(a)</w:t>
      </w:r>
      <w:r>
        <w:t xml:space="preserve">  The rule of decision in this state consists of those portions of the common law of England that are not inconsistent with the constitution or the laws of this state, the constitution of this state, and the laws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any action governed by the laws of this state concerning rights and obligations under the law, the American Law Institute's Restatements of the Law are not controlling.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2757 was passed by the House on April 24, 2019, by the following vote:</w:t>
      </w:r>
      <w:r xml:space="preserve">
        <w:t> </w:t>
      </w:r>
      <w:r xml:space="preserve">
        <w:t> </w:t>
      </w:r>
      <w:r>
        <w:t xml:space="preserve">Yeas 139, Nays 3, 1 present, not voting; and that the House concurred in Senate amendments to H.B. No. 2757 on May 23, 2019, by the following vote:</w:t>
      </w:r>
      <w:r xml:space="preserve">
        <w:t> </w:t>
      </w:r>
      <w:r xml:space="preserve">
        <w:t> </w:t>
      </w:r>
      <w:r>
        <w:t xml:space="preserve">Yeas 142, Nays 1,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2757 was passed by the Senate, with amendments, on May 21, 2019,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