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86R13139 LED-F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Leach</w:t>
      </w:r>
      <w:r xml:space="preserve">
        <w:tab wTab="150" tlc="none" cTlc="0"/>
      </w:r>
      <w:r>
        <w:t xml:space="preserve">H.B.</w:t>
      </w:r>
      <w:r xml:space="preserve">
        <w:t> </w:t>
      </w:r>
      <w:r>
        <w:t xml:space="preserve">No.</w:t>
      </w:r>
      <w:r xml:space="preserve">
        <w:t> </w:t>
      </w:r>
      <w:r>
        <w:t xml:space="preserve">2757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rule of decision in a court of this state.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5.001, Civil Practice and Remedies Code, is amended to read as follows:</w:t>
      </w:r>
    </w:p>
    <w:p w:rsidR="003F3435" w:rsidRDefault="0032493E">
      <w:pPr>
        <w:spacing w:line="480" w:lineRule="auto"/>
        <w:ind w:firstLine="720"/>
        <w:jc w:val="both"/>
      </w:pPr>
      <w:r>
        <w:t xml:space="preserve">Sec.</w:t>
      </w:r>
      <w:r xml:space="preserve">
        <w:t> </w:t>
      </w:r>
      <w:r>
        <w:t xml:space="preserve">5.001.</w:t>
      </w:r>
      <w:r xml:space="preserve">
        <w:t> </w:t>
      </w:r>
      <w:r xml:space="preserve">
        <w:t> </w:t>
      </w:r>
      <w:r>
        <w:t xml:space="preserve">RULE OF DECISION.  </w:t>
      </w:r>
      <w:r>
        <w:rPr>
          <w:u w:val="single"/>
        </w:rPr>
        <w:t xml:space="preserve">(a)</w:t>
      </w:r>
      <w:r>
        <w:t xml:space="preserve">  The rule of decision in this state consists of those portions of the common law of England that are not inconsistent with the constitution or the laws of this state, the </w:t>
      </w:r>
      <w:r>
        <w:rPr>
          <w:u w:val="single"/>
        </w:rPr>
        <w:t xml:space="preserve">constitutions</w:t>
      </w:r>
      <w:r>
        <w:t xml:space="preserve"> [</w:t>
      </w:r>
      <w:r>
        <w:rPr>
          <w:strike/>
        </w:rPr>
        <w:t xml:space="preserve">constitution</w:t>
      </w:r>
      <w:r>
        <w:t xml:space="preserve">] of this state </w:t>
      </w:r>
      <w:r>
        <w:rPr>
          <w:u w:val="single"/>
        </w:rPr>
        <w:t xml:space="preserve">and of the United States</w:t>
      </w:r>
      <w:r>
        <w:t xml:space="preserve">, [</w:t>
      </w:r>
      <w:r>
        <w:rPr>
          <w:strike/>
        </w:rPr>
        <w:t xml:space="preserve">and</w:t>
      </w:r>
      <w:r>
        <w:t xml:space="preserve">] the laws of this state</w:t>
      </w:r>
      <w:r>
        <w:rPr>
          <w:u w:val="single"/>
        </w:rPr>
        <w:t xml:space="preserve">, and case law precedents set by a court of this state</w:t>
      </w:r>
      <w:r>
        <w:t xml:space="preserv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any action governed by the laws of this state concerning rights and obligations under the law, the American Law Institute's Restatements of the Law are not controlling.</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2757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