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2758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May</w:t>
      </w:r>
      <w:r xml:space="preserve">
        <w:t> </w:t>
      </w:r>
      <w:r>
        <w:t xml:space="preserve">1,</w:t>
      </w:r>
      <w:r xml:space="preserve">
        <w:t> </w:t>
      </w:r>
      <w:r>
        <w:t xml:space="preserve">2019, read first time and referred to Committee on Criminal Justice; May</w:t>
      </w:r>
      <w:r xml:space="preserve">
        <w:t> </w:t>
      </w:r>
      <w:r>
        <w:t xml:space="preserve">10,</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2758</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 Code of Criminal Procedure,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with respect to an offense committed by a defendant under Section 43.04 or 43.05, Penal Code, a judge may place the defendant on community supervision as permitted by Article 42A.053 if the judge makes a finding that the defendant committed the offense solely as a victim of an offense under Section 20A.02, 20A.03, 43.03, 43.04, or 43.05,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or 20A.03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w:t>
      </w:r>
      <w:r>
        <w:rPr>
          <w:strike/>
        </w:rPr>
        <w:t xml:space="preserve">or</w:t>
      </w:r>
      <w:r>
        <w:t xml:space="preserve">] 22.021, </w:t>
      </w:r>
      <w:r>
        <w:rPr>
          <w:u w:val="single"/>
        </w:rPr>
        <w:t xml:space="preserve">43.04, or 43.05,</w:t>
      </w:r>
      <w:r>
        <w:t xml:space="preserve"> </w:t>
      </w:r>
      <w:r>
        <w:t xml:space="preserve">Penal Code, regardless of the age of the victim, or a felony described by Article 42A.453(b)</w:t>
      </w:r>
      <w:r>
        <w:rPr>
          <w:u w:val="single"/>
        </w:rPr>
        <w:t xml:space="preserve">, other than a felony described by Subdivision (1)(A) or (3)(B)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