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86R4268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caregiver training for substitute care providers for children in the conservatorship of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42.0537(a) and (b), Human Resources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shall include a provision in each contract with a child-placing agency with whom children in the managing conservatorship of the department are placed that requires the child-placing agency to provide [</w:t>
      </w:r>
      <w:r>
        <w:rPr>
          <w:strike/>
        </w:rPr>
        <w:t xml:space="preserve">at least 35 hours of</w:t>
      </w:r>
      <w:r>
        <w:t xml:space="preserve">] competency-based, preservice training to a potential caregiver before the child-placing agency verifies or approves the caregiver as a foster or adoptive home.  </w:t>
      </w:r>
      <w:r>
        <w:rPr>
          <w:u w:val="single"/>
        </w:rPr>
        <w:t xml:space="preserve">The amount of training required by this subsection may not exceed 35 hours.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department shall adopt policies to ensure that each potential caregiver receives [</w:t>
      </w:r>
      <w:r>
        <w:rPr>
          <w:strike/>
        </w:rPr>
        <w:t xml:space="preserve">at least 35 hours of</w:t>
      </w:r>
      <w:r>
        <w:t xml:space="preserve">] competency-based, preservice training before the department verifies or approves the caregiver as a foster or adoptive home.  </w:t>
      </w:r>
      <w:r>
        <w:rPr>
          <w:u w:val="single"/>
        </w:rPr>
        <w:t xml:space="preserve">The amount of training required by this subsection may not exceed 35 hours.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