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 Fischer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2767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delivery of a recorded marriage license by e-mail.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2.208(a),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record a returned marriage license and mail the license to the address indicated on the application. </w:t>
      </w:r>
      <w:r>
        <w:t xml:space="preserve"> </w:t>
      </w:r>
      <w:r>
        <w:rPr>
          <w:u w:val="single"/>
        </w:rPr>
        <w:t xml:space="preserve">On request by the applicants, the county clerk may e-mail the marriage license to an e-mail address provided to the county clerk by the applicants in addition to mailing the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