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an increase in an optional county fee on vehicle registration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502.402(b-1) and (e),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The commissioners court of a county described by Subsection </w:t>
      </w:r>
      <w:r>
        <w:rPr>
          <w:u w:val="single"/>
        </w:rPr>
        <w:t xml:space="preserve">(a)(1)</w:t>
      </w:r>
      <w:r>
        <w:t xml:space="preserve"> [</w:t>
      </w:r>
      <w:r>
        <w:rPr>
          <w:strike/>
        </w:rPr>
        <w:t xml:space="preserve">(a)</w:t>
      </w:r>
      <w:r>
        <w:t xml:space="preserve">] with a population of less than 700,000 </w:t>
      </w:r>
      <w:r>
        <w:rPr>
          <w:u w:val="single"/>
        </w:rPr>
        <w:t xml:space="preserve">or more than 800,000</w:t>
      </w:r>
      <w:r>
        <w:t xml:space="preserve"> may increase the additional fee to an amount that does not exceed $20 if approved by a majority of the qualified voters of the county voting on the issue at a referendum election, which the commissioners court may order and hold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additional fee shall be collected for a vehicle when other fees imposed under this chapter are collected. </w:t>
      </w:r>
      <w:r>
        <w:t xml:space="preserve"> </w:t>
      </w:r>
      <w:r>
        <w:t xml:space="preserve">The fee revenue collected shall be sent to a regional mobility authority located in the county </w:t>
      </w:r>
      <w:r>
        <w:rPr>
          <w:u w:val="single"/>
        </w:rPr>
        <w:t xml:space="preserve">or, if the county has a population of more than 800,000, to the metropolitan planning organization that serves the county. </w:t>
      </w:r>
      <w:r>
        <w:rPr>
          <w:u w:val="single"/>
        </w:rPr>
        <w:t xml:space="preserve"> </w:t>
      </w:r>
      <w:r>
        <w:rPr>
          <w:u w:val="single"/>
        </w:rPr>
        <w:t xml:space="preserve">The fee revenue may be used only</w:t>
      </w:r>
      <w:r>
        <w:t xml:space="preserve"> to fund long-</w:t>
      </w:r>
      <w:r>
        <w:t xml:space="preserve">term transportation projects in the county that are consistent with the purposes specified by Section 7-a, Article VIII, Texas Constitution.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