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86R11934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2772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to mandatory supervision of certain inmates confined in a county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508, Government Code, is amended by adding Section 508.1471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508.1471.</w:t>
      </w:r>
      <w:r>
        <w:rPr>
          <w:u w:val="single"/>
        </w:rPr>
        <w:t xml:space="preserve"> </w:t>
      </w:r>
      <w:r>
        <w:rPr>
          <w:u w:val="single"/>
        </w:rPr>
        <w:t xml:space="preserve"> </w:t>
      </w:r>
      <w:r>
        <w:rPr>
          <w:u w:val="single"/>
        </w:rPr>
        <w:t xml:space="preserve">RELEASE TO MANDATORY SUPERVISION OF CERTAIN INMATES CONFINED IN COUNTY JAIL.  (a)  This section applies only to an inmate who is confined in a county jail and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sentenced to a term of imprisonment in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release to mandatory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the department must take custody of an inmate to whom this section applies before the inmate may be released to mandatory supervision.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taking an inmate into custody under Subsection (b), the department shall provide notice to a victim, guardian of a victim, or close relative of a deceased victim that the inmate is eligible for release to mandatory supervision.  The notice must be sent to the address provided in the victim impact statement or submitted under Section 508.117(b) and must state that the victim, guardian, or close relative may submit, not later than the 14th day after the date of the notice, a written statement to the parole panel considering the inmate's release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inmate;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effect of the offense on the victim, guardian, or close relative.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parole panel may hold a hearing regarding the release of the inmate to mandatory supervision and may permit a victim, guardian of a victim, or close relative of a deceased victim to make a statement at the hearing.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"victim," "guardian of a victim," and "close relative of a deceased victim" have the meanings assigned by Section 508.117.</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who is sentenced for an offense on or after the effective date of this Act, regardless of whether the offense is committed before, on, or after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