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2774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behavioral health services for certain persons under the medical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In this subsection, "serious mental illness" has the meaning assigned by Section 1355.001, Insurance Code. </w:t>
      </w:r>
      <w:r>
        <w:rPr>
          <w:u w:val="single"/>
        </w:rPr>
        <w:t xml:space="preserve"> </w:t>
      </w:r>
      <w:r>
        <w:rPr>
          <w:u w:val="single"/>
        </w:rPr>
        <w:t xml:space="preserve">The commission in its rules and standards governing the scope of services provided under the medical assistance program shall include behavioral health services for a person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20 years of age but younger than 65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diagnosed with a serious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arrested at least once.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